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E7" w:rsidRPr="00756AFE" w:rsidRDefault="00C72FE7" w:rsidP="00C72FE7">
      <w:pPr>
        <w:jc w:val="center"/>
        <w:rPr>
          <w:noProof/>
          <w:lang w:val="uk-UA"/>
        </w:rPr>
      </w:pPr>
      <w:r w:rsidRPr="00756AFE">
        <w:rPr>
          <w:noProof/>
        </w:rPr>
        <w:t>С</w:t>
      </w:r>
      <w:r w:rsidRPr="00756AFE">
        <w:rPr>
          <w:noProof/>
          <w:lang w:val="uk-UA"/>
        </w:rPr>
        <w:t xml:space="preserve">тавки </w:t>
      </w:r>
      <w:r w:rsidRPr="00756AFE">
        <w:rPr>
          <w:noProof/>
          <w:vertAlign w:val="superscript"/>
        </w:rPr>
        <w:br/>
      </w:r>
      <w:r w:rsidRPr="00756AFE">
        <w:rPr>
          <w:noProof/>
        </w:rPr>
        <w:t>податку на нерухоме майно, відмінне від земельної ділянки</w:t>
      </w:r>
      <w:r w:rsidR="00154128" w:rsidRPr="00756AFE">
        <w:rPr>
          <w:noProof/>
        </w:rPr>
        <w:t xml:space="preserve"> за 1 кв. метр</w:t>
      </w:r>
      <w:r w:rsidR="00154128" w:rsidRPr="00756AFE">
        <w:rPr>
          <w:noProof/>
        </w:rPr>
        <w:br/>
        <w:t>(відсотків розміру мінімальної заробітної плати)</w:t>
      </w:r>
    </w:p>
    <w:p w:rsidR="0075556B" w:rsidRPr="00756AFE" w:rsidRDefault="0075556B" w:rsidP="00C72FE7">
      <w:pPr>
        <w:widowControl w:val="0"/>
        <w:rPr>
          <w:noProof/>
          <w:lang w:val="uk-UA"/>
        </w:rPr>
      </w:pPr>
    </w:p>
    <w:tbl>
      <w:tblPr>
        <w:tblW w:w="6044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67"/>
        <w:gridCol w:w="2440"/>
        <w:gridCol w:w="1417"/>
        <w:gridCol w:w="1278"/>
        <w:gridCol w:w="1276"/>
        <w:gridCol w:w="1276"/>
        <w:gridCol w:w="1276"/>
        <w:gridCol w:w="1259"/>
      </w:tblGrid>
      <w:tr w:rsidR="00756AFE" w:rsidRPr="00756AFE" w:rsidTr="00756AFE">
        <w:trPr>
          <w:trHeight w:val="5"/>
        </w:trPr>
        <w:tc>
          <w:tcPr>
            <w:tcW w:w="1359" w:type="pct"/>
            <w:gridSpan w:val="2"/>
            <w:noWrap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Класифікація будівель та споруд</w:t>
            </w:r>
          </w:p>
        </w:tc>
        <w:tc>
          <w:tcPr>
            <w:tcW w:w="1261" w:type="pct"/>
            <w:gridSpan w:val="2"/>
            <w:noWrap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Южноукраїнська міська рада</w:t>
            </w:r>
          </w:p>
        </w:tc>
        <w:tc>
          <w:tcPr>
            <w:tcW w:w="1194" w:type="pct"/>
            <w:gridSpan w:val="2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Костянтинівська селищна рада</w:t>
            </w:r>
          </w:p>
        </w:tc>
        <w:tc>
          <w:tcPr>
            <w:tcW w:w="1187" w:type="pct"/>
            <w:gridSpan w:val="2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Івнівська сільська рада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  <w:vMerge w:val="restart"/>
            <w:noWrap/>
            <w:vAlign w:val="center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140" w:type="pct"/>
            <w:vMerge w:val="restart"/>
            <w:noWrap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найменування</w:t>
            </w:r>
          </w:p>
        </w:tc>
        <w:tc>
          <w:tcPr>
            <w:tcW w:w="663" w:type="pct"/>
            <w:noWrap/>
            <w:vAlign w:val="center"/>
          </w:tcPr>
          <w:p w:rsidR="00756AFE" w:rsidRPr="00756AFE" w:rsidRDefault="00756AFE" w:rsidP="00756AFE">
            <w:pPr>
              <w:pStyle w:val="a3"/>
              <w:spacing w:before="0"/>
              <w:ind w:left="-75" w:firstLine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для юридичних осіб</w:t>
            </w:r>
          </w:p>
        </w:tc>
        <w:tc>
          <w:tcPr>
            <w:tcW w:w="598" w:type="pct"/>
            <w:noWrap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для фізичних осіб</w:t>
            </w:r>
          </w:p>
        </w:tc>
        <w:tc>
          <w:tcPr>
            <w:tcW w:w="597" w:type="pct"/>
            <w:vAlign w:val="center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для юридичних осіб</w:t>
            </w:r>
          </w:p>
        </w:tc>
        <w:tc>
          <w:tcPr>
            <w:tcW w:w="597" w:type="pct"/>
            <w:vAlign w:val="center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для фізичних осіб</w:t>
            </w:r>
          </w:p>
        </w:tc>
        <w:tc>
          <w:tcPr>
            <w:tcW w:w="597" w:type="pct"/>
            <w:vAlign w:val="center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для юридичних осіб</w:t>
            </w:r>
          </w:p>
        </w:tc>
        <w:tc>
          <w:tcPr>
            <w:tcW w:w="590" w:type="pct"/>
            <w:vAlign w:val="center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для фізичних осіб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  <w:vMerge/>
            <w:noWrap/>
            <w:vAlign w:val="center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40" w:type="pct"/>
            <w:vMerge/>
            <w:noWrap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noWrap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для усіх місць розташування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(зональності)</w:t>
            </w:r>
          </w:p>
        </w:tc>
        <w:tc>
          <w:tcPr>
            <w:tcW w:w="598" w:type="pct"/>
            <w:noWrap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для усіх місць розташування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(зональності)</w:t>
            </w:r>
          </w:p>
        </w:tc>
        <w:tc>
          <w:tcPr>
            <w:tcW w:w="597" w:type="pct"/>
            <w:vAlign w:val="center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для усіх місць розташування</w:t>
            </w:r>
          </w:p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(зональності)</w:t>
            </w:r>
          </w:p>
        </w:tc>
        <w:tc>
          <w:tcPr>
            <w:tcW w:w="597" w:type="pct"/>
            <w:vAlign w:val="center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для усіх місць розташування</w:t>
            </w:r>
          </w:p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(зональності)</w:t>
            </w:r>
          </w:p>
        </w:tc>
        <w:tc>
          <w:tcPr>
            <w:tcW w:w="597" w:type="pct"/>
            <w:vAlign w:val="center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для усіх місць розташування</w:t>
            </w:r>
          </w:p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(зональності)</w:t>
            </w:r>
          </w:p>
        </w:tc>
        <w:tc>
          <w:tcPr>
            <w:tcW w:w="590" w:type="pct"/>
            <w:vAlign w:val="center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для усіх місць розташування</w:t>
            </w:r>
          </w:p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(зональності)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житлові</w:t>
            </w:r>
          </w:p>
          <w:p w:rsidR="00756AFE" w:rsidRPr="00756AFE" w:rsidRDefault="00756AFE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(за винятком нерухомості, яка підпадає під дію підпункту 266.2.2 пункту 266.2 статті 266 Податкового кодексу України)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111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Будинки одноквартирні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1110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Будинки одноквартирні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1110.1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1110.2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1110.3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Будинки садибного типу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1110.4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Будинки дачні та садові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112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Будинки з двома та більше квартирами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1121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Будинки з двома квартирами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1121.1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1121.2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jc w:val="center"/>
              <w:rPr>
                <w:noProof/>
                <w:lang w:val="uk-UA"/>
              </w:rPr>
            </w:pP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jc w:val="center"/>
              <w:rPr>
                <w:noProof/>
                <w:lang w:val="uk-UA"/>
              </w:rPr>
            </w:pP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1122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Будинки з трьома та більше квартирами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1122.1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jc w:val="center"/>
              <w:rPr>
                <w:noProof/>
                <w:lang w:val="uk-UA"/>
              </w:rPr>
            </w:pP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1122.2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1122.3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113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Гуртожитки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1</w:t>
            </w:r>
            <w:r w:rsidRPr="00756AFE">
              <w:rPr>
                <w:rStyle w:val="20"/>
                <w:color w:val="76A9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1130.1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Гуртожитки для робітників та службовців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1130.2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Гуртожитки для студентів вищих навчальних закладів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1130.3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Гуртожитки для учнів навчальних закладів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1130.4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Будинки-інтернати для людей похилого віку та інвалідів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1130.5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Будинки дитини та сирітські будинки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1130.6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Будинки для біженців, притулки для бездомних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1130.9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нежитлові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 </w:t>
            </w:r>
          </w:p>
        </w:tc>
        <w:tc>
          <w:tcPr>
            <w:tcW w:w="2401" w:type="pct"/>
            <w:gridSpan w:val="3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Готелі, ресторани та подібні будівлі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1211 </w:t>
            </w:r>
          </w:p>
        </w:tc>
        <w:tc>
          <w:tcPr>
            <w:tcW w:w="2401" w:type="pct"/>
            <w:gridSpan w:val="3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готельні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1211.1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Готелі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1211.2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Мотелі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1211.3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Кемпінги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 xml:space="preserve">1211.4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Пансіонати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1211.5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Ресторани та бари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1212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Інші будівлі для тимчасового проживання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1212.1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1212.2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1212.3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Центри та будинки відпочинку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1212.9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122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офісні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1220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офісні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1220.1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органів державного та місцевого управління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1220.2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1220.3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органів правосуддя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1220.4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закордонних представництв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1220.5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1220.9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123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торговельні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(крім об’єктів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 згідно з підпунктом 266.2.2 пункту 266.2 статті 266 Податкового кодексу України)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1230 </w:t>
            </w:r>
          </w:p>
        </w:tc>
        <w:tc>
          <w:tcPr>
            <w:tcW w:w="2401" w:type="pct"/>
            <w:gridSpan w:val="3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торговельні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1230.1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1230.2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Криті ринки, павільйони та зали для ярмарків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1230.3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1230.4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Їдальні, кафе, закусочні тощо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1230.5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1230.6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1230.9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Будівлі торговельні інші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124</w:t>
            </w:r>
          </w:p>
        </w:tc>
        <w:tc>
          <w:tcPr>
            <w:tcW w:w="4782" w:type="pct"/>
            <w:gridSpan w:val="7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транспорту та засобів зв’язку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1241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1241.1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1241.2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1241.3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1241.4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х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1241.5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х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1241.6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1241.7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Будівлі центрів радіо- та телевізійного мовлення,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lastRenderedPageBreak/>
              <w:t xml:space="preserve">телефонних станцій, телекомунікаційних центрів тощо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lastRenderedPageBreak/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 xml:space="preserve">1241.8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1241.9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1242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Гаражі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1242.1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Гаражі наземні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1242.2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Гаражі підземні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1242.3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Стоянки автомобільні криті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1242.4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Навіси для велосипедів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промислові та склади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(за винятком виробничих корпусів, цехів, складських приміщень промислових підприємств згідно з підпунктом 266.2.2 пункту 266.2 статті 266 Податкового кодексу України)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промислові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підприємств чорної металургії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підприємств хімічної та нафтохімічної промисловості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підприємств легкої промисловості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підприємств харчової промисловості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1251.6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1251.7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1251.8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1251.9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Резервуари, силоси та склади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Резервуари та ємності інші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Силоси для зерна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Склади спеціальні товарні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1252.6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Холодильники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1252.7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Складські майданчики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1252.8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Склади універсальні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1252.9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Склади та сховища інші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1261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для публічних виступів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1261.1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Театри, кінотеатри та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lastRenderedPageBreak/>
              <w:t xml:space="preserve">концертні зали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lastRenderedPageBreak/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 xml:space="preserve">1261.2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1261.3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Цирки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1261.4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Казино, ігорні будинки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1261.5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1261.9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1262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Музеї та бібліотеки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1262.1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Музеї та художні галереї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1262.2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Бібліотеки, книгосховища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1262.3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Технічні центри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1262.4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Планетарії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1262.5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архівів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1262.6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зоологічних та ботанічних садів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навчальних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та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дослідних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закладів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винятком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нерухомості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яка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перебуває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власності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органів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державної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влади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органів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місцевого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самоврядування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також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організацій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створених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ними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установленому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порядку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що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повністю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утримуються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рахунок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відповідного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державного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бюджету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чи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місцевого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бюджету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є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неприбутковими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(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їх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спільній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власності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)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згідно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підпунктом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266.2.2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пункту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266.2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статті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266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Податкового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кодексу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України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шкіл та інших середніх навчальних закладів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професійно-технічних навчальних закладів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дошкільних та позашкільних навчальних закладів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1263.6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1263.7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1263.8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1263.9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освітніх та науково-дослідних закладів інші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1264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лікарень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та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оздоровчих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закладів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винятком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нерухомості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яка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перебуває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власності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органів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державної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влади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органів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місцевого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самоврядування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також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організацій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створених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ними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установленому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порядку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що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повністю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утримуються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за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рахунок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відповідного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державного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бюджету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чи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місцевого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бюджету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є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неприбутковими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(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їх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спільній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власності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)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згідно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підпунктом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266.2.2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пункту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266.2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статті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266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Податкового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кодексу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України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1264.1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1264.2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Лікарні профільні, диспансери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1264.3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Материнські та дитячі реабілітаційні центри, пологові будинки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1264.4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Поліклініки, пункти 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lastRenderedPageBreak/>
              <w:t>медичного обслуговування та консультації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 xml:space="preserve">1264.5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Шпиталі виправних закладів, в’язниць та Збройних Сил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1264.6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1264.9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1265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Зали спортивні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1265.1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1265.2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Басейни криті для плавання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1265.3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1265.4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Манежі легкоатлетичні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1265.5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Тири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1265.9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Зали спортивні інші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 </w:t>
            </w:r>
          </w:p>
        </w:tc>
        <w:tc>
          <w:tcPr>
            <w:tcW w:w="2401" w:type="pct"/>
            <w:gridSpan w:val="3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нежитлові інші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(за винятком будівль, споруд сільськогосподарських товаровиробників, призначених для використання безпосередньо у сільськогосподарській діяльності  згідно з підпунктом 266.2.2 пункту 266.2 статті 266 Податкового кодексу України та </w:t>
            </w:r>
            <w:r w:rsidRPr="00756A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здаються їх власниками в оренду, лізинг, позичку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для тваринництва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для птахівництва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для зберігання зерна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силосні та сінажні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1271.6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тепличного господарства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1271.7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рибного господарства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1271.8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1271.9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1272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для культової та релігійної діяльності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proofErr w:type="gramStart"/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(крім нерухомості, що перебуває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</w:t>
            </w:r>
            <w:proofErr w:type="gramEnd"/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ів нерухомості, в яких здійснюється виробнича та/або господарська діяльність згідно з підпунктом 266.2.2 пункту 266.2 статті 266 Податкового кодексу України)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1272.1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Церкви, собори, костьоли, мечеті, синагоги тощо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1272.2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1272.3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Цвинтарі та крематорії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1273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Пам’ятки історичні та такі, що охороняються державою</w:t>
            </w:r>
          </w:p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(за винятком нерухомості, яка підпадає під дію підпункту 266.2.2 пункту 266.2 статті 266 Податкового кодексу України)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1273.1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Пам’ятки історії та архітектури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1273.2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 xml:space="preserve">1273.3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Меморіали, художньо-декоративні будівлі, статуї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1274 </w:t>
            </w:r>
          </w:p>
        </w:tc>
        <w:tc>
          <w:tcPr>
            <w:tcW w:w="4782" w:type="pct"/>
            <w:gridSpan w:val="7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інші, не класифіковані раніше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1274.1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Казарми Збройних Сил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1274.2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 поліцейських та пожежних служб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1274.3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Будівлі виправних закладів, в’язниць та слідчих ізоляторів</w:t>
            </w: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1F489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1274.4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Будівлі лазень та пралень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1274.5 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0,1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756AFE" w:rsidRPr="00756AFE" w:rsidTr="00756AFE">
        <w:trPr>
          <w:trHeight w:val="5"/>
        </w:trPr>
        <w:tc>
          <w:tcPr>
            <w:tcW w:w="218" w:type="pct"/>
          </w:tcPr>
          <w:p w:rsidR="00756AFE" w:rsidRPr="00756AFE" w:rsidRDefault="00756AFE" w:rsidP="00756AFE">
            <w:pPr>
              <w:pStyle w:val="a3"/>
              <w:spacing w:before="0"/>
              <w:ind w:right="-52" w:firstLine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56AFE">
              <w:rPr>
                <w:rFonts w:ascii="Times New Roman" w:hAnsi="Times New Roman" w:cs="Times New Roman"/>
                <w:noProof/>
                <w:sz w:val="16"/>
                <w:szCs w:val="16"/>
              </w:rPr>
              <w:t>1275.1</w:t>
            </w:r>
          </w:p>
        </w:tc>
        <w:tc>
          <w:tcPr>
            <w:tcW w:w="1140" w:type="pct"/>
            <w:vAlign w:val="center"/>
          </w:tcPr>
          <w:p w:rsidR="00756AFE" w:rsidRPr="00756AFE" w:rsidRDefault="00756AFE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Будівлі, що не ввійшли до цього переліку</w:t>
            </w:r>
          </w:p>
        </w:tc>
        <w:tc>
          <w:tcPr>
            <w:tcW w:w="663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х</w:t>
            </w:r>
          </w:p>
        </w:tc>
        <w:tc>
          <w:tcPr>
            <w:tcW w:w="598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7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90" w:type="pct"/>
          </w:tcPr>
          <w:p w:rsidR="00756AFE" w:rsidRPr="00756AFE" w:rsidRDefault="00756AFE" w:rsidP="0045432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AFE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</w:tbl>
    <w:p w:rsidR="00C72FE7" w:rsidRPr="00756AFE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C72FE7" w:rsidRPr="00756AFE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756AFE">
        <w:rPr>
          <w:rFonts w:ascii="Times New Roman" w:hAnsi="Times New Roman" w:cs="Times New Roman"/>
          <w:noProof/>
          <w:sz w:val="20"/>
          <w:szCs w:val="20"/>
          <w:vertAlign w:val="superscript"/>
          <w:lang w:val="ru-RU"/>
        </w:rPr>
        <w:t>1</w:t>
      </w:r>
      <w:r w:rsidRPr="00756AFE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Об’єкти нерухомості, що класифікуються за цим </w:t>
      </w:r>
      <w:proofErr w:type="gramStart"/>
      <w:r w:rsidRPr="00756AFE">
        <w:rPr>
          <w:rFonts w:ascii="Times New Roman" w:hAnsi="Times New Roman" w:cs="Times New Roman"/>
          <w:i/>
          <w:iCs/>
          <w:sz w:val="20"/>
          <w:szCs w:val="20"/>
          <w:lang w:val="uk-UA"/>
        </w:rPr>
        <w:t>п</w:t>
      </w:r>
      <w:proofErr w:type="gramEnd"/>
      <w:r w:rsidRPr="00756AFE">
        <w:rPr>
          <w:rFonts w:ascii="Times New Roman" w:hAnsi="Times New Roman" w:cs="Times New Roman"/>
          <w:i/>
          <w:iCs/>
          <w:sz w:val="20"/>
          <w:szCs w:val="20"/>
          <w:lang w:val="uk-UA"/>
        </w:rPr>
        <w:t>ідкласом, звільняються повністю 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</w:t>
      </w:r>
    </w:p>
    <w:p w:rsidR="00C72FE7" w:rsidRPr="00756AFE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C72FE7" w:rsidRPr="00756AFE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72FE7" w:rsidRPr="00756AFE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72FE7" w:rsidRPr="00756AFE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72FE7" w:rsidRPr="00756AFE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C72FE7" w:rsidRPr="00756AFE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sectPr w:rsidR="00C72FE7" w:rsidRPr="00756AFE" w:rsidSect="00756AFE">
      <w:pgSz w:w="11906" w:h="16838"/>
      <w:pgMar w:top="568" w:right="2268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E4FAE"/>
    <w:multiLevelType w:val="hybridMultilevel"/>
    <w:tmpl w:val="7A440DE8"/>
    <w:lvl w:ilvl="0" w:tplc="0C125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E7"/>
    <w:rsid w:val="00154128"/>
    <w:rsid w:val="001D044A"/>
    <w:rsid w:val="001F489C"/>
    <w:rsid w:val="004057E2"/>
    <w:rsid w:val="004952BE"/>
    <w:rsid w:val="0075556B"/>
    <w:rsid w:val="00756AFE"/>
    <w:rsid w:val="00783F43"/>
    <w:rsid w:val="00874E97"/>
    <w:rsid w:val="00992644"/>
    <w:rsid w:val="009C5E11"/>
    <w:rsid w:val="00BC1482"/>
    <w:rsid w:val="00C55169"/>
    <w:rsid w:val="00C72FE7"/>
    <w:rsid w:val="00E15A99"/>
    <w:rsid w:val="00E278EE"/>
    <w:rsid w:val="00E36EFB"/>
    <w:rsid w:val="00E709AF"/>
    <w:rsid w:val="00F45BB5"/>
    <w:rsid w:val="00F8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72FE7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72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2FE7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2FE7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72FE7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C72FE7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7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72FE7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2F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2FE7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C72F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C72FE7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C72FE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C72FE7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4">
    <w:name w:val="List Paragraph"/>
    <w:basedOn w:val="a"/>
    <w:uiPriority w:val="99"/>
    <w:qFormat/>
    <w:rsid w:val="00C72FE7"/>
    <w:pPr>
      <w:overflowPunct/>
      <w:autoSpaceDE/>
      <w:autoSpaceDN/>
      <w:adjustRightInd/>
      <w:ind w:left="720"/>
      <w:textAlignment w:val="auto"/>
    </w:pPr>
  </w:style>
  <w:style w:type="paragraph" w:styleId="a5">
    <w:name w:val="Balloon Text"/>
    <w:basedOn w:val="a"/>
    <w:link w:val="a6"/>
    <w:uiPriority w:val="99"/>
    <w:semiHidden/>
    <w:rsid w:val="00C72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азва документа"/>
    <w:basedOn w:val="a"/>
    <w:next w:val="a3"/>
    <w:uiPriority w:val="99"/>
    <w:rsid w:val="00C72FE7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a8">
    <w:name w:val="Знак Знак Знак Знак Знак Знак Знак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22"/>
    <w:qFormat/>
    <w:rsid w:val="00C72FE7"/>
    <w:rPr>
      <w:b/>
      <w:bCs/>
    </w:rPr>
  </w:style>
  <w:style w:type="character" w:customStyle="1" w:styleId="apple-converted-space">
    <w:name w:val="apple-converted-space"/>
    <w:basedOn w:val="a0"/>
    <w:uiPriority w:val="99"/>
    <w:rsid w:val="00C72FE7"/>
  </w:style>
  <w:style w:type="paragraph" w:styleId="aa">
    <w:name w:val="Normal (Web)"/>
    <w:basedOn w:val="a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rsid w:val="00C72FE7"/>
    <w:rPr>
      <w:color w:val="0000FF"/>
      <w:u w:val="single"/>
    </w:rPr>
  </w:style>
  <w:style w:type="paragraph" w:customStyle="1" w:styleId="tjbmf">
    <w:name w:val="tj bmf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FollowedHyperlink"/>
    <w:basedOn w:val="a0"/>
    <w:uiPriority w:val="99"/>
    <w:rsid w:val="00C72FE7"/>
    <w:rPr>
      <w:color w:val="800080"/>
      <w:u w:val="single"/>
    </w:rPr>
  </w:style>
  <w:style w:type="paragraph" w:customStyle="1" w:styleId="32">
    <w:name w:val="Столбец3"/>
    <w:basedOn w:val="a"/>
    <w:uiPriority w:val="99"/>
    <w:rsid w:val="00C72FE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matchword9">
    <w:name w:val="match word9"/>
    <w:basedOn w:val="a0"/>
    <w:uiPriority w:val="99"/>
    <w:rsid w:val="00C72FE7"/>
  </w:style>
  <w:style w:type="character" w:customStyle="1" w:styleId="matchword1">
    <w:name w:val="match word1"/>
    <w:basedOn w:val="a0"/>
    <w:uiPriority w:val="99"/>
    <w:rsid w:val="00C72FE7"/>
  </w:style>
  <w:style w:type="paragraph" w:customStyle="1" w:styleId="tjreflinkmrw60">
    <w:name w:val="tj reflink mr w60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tchword5">
    <w:name w:val="match word5"/>
    <w:basedOn w:val="a0"/>
    <w:uiPriority w:val="99"/>
    <w:rsid w:val="00C72FE7"/>
  </w:style>
  <w:style w:type="character" w:customStyle="1" w:styleId="matchword3">
    <w:name w:val="match word3"/>
    <w:basedOn w:val="a0"/>
    <w:uiPriority w:val="99"/>
    <w:rsid w:val="00C72FE7"/>
  </w:style>
  <w:style w:type="character" w:customStyle="1" w:styleId="matchword7">
    <w:name w:val="match word7"/>
    <w:basedOn w:val="a0"/>
    <w:uiPriority w:val="99"/>
    <w:rsid w:val="00C72FE7"/>
  </w:style>
  <w:style w:type="character" w:customStyle="1" w:styleId="matchword8">
    <w:name w:val="match word8"/>
    <w:basedOn w:val="a0"/>
    <w:uiPriority w:val="99"/>
    <w:rsid w:val="00C72FE7"/>
  </w:style>
  <w:style w:type="character" w:customStyle="1" w:styleId="matchword2">
    <w:name w:val="match word2"/>
    <w:basedOn w:val="a0"/>
    <w:uiPriority w:val="99"/>
    <w:rsid w:val="00C72FE7"/>
  </w:style>
  <w:style w:type="character" w:customStyle="1" w:styleId="matchword13">
    <w:name w:val="match word13"/>
    <w:basedOn w:val="a0"/>
    <w:uiPriority w:val="99"/>
    <w:rsid w:val="00C72FE7"/>
  </w:style>
  <w:style w:type="character" w:customStyle="1" w:styleId="matchword6">
    <w:name w:val="match word6"/>
    <w:basedOn w:val="a0"/>
    <w:uiPriority w:val="99"/>
    <w:rsid w:val="00C72FE7"/>
  </w:style>
  <w:style w:type="paragraph" w:customStyle="1" w:styleId="StyleZakonu">
    <w:name w:val="StyleZakonu"/>
    <w:basedOn w:val="a"/>
    <w:link w:val="StyleZakonu0"/>
    <w:uiPriority w:val="99"/>
    <w:rsid w:val="00C72FE7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C72FE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j">
    <w:name w:val="tj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2">
    <w:name w:val="fs2"/>
    <w:basedOn w:val="a0"/>
    <w:uiPriority w:val="99"/>
    <w:rsid w:val="00C72FE7"/>
  </w:style>
  <w:style w:type="paragraph" w:customStyle="1" w:styleId="tr">
    <w:name w:val="tr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Знак Знак Знак Знак Знак Знак Знак1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harChar21">
    <w:name w:val="Char Char21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2">
    <w:name w:val="Знак Знак1"/>
    <w:uiPriority w:val="99"/>
    <w:rsid w:val="00C72FE7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rvps2">
    <w:name w:val="rvps2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46">
    <w:name w:val="rvts46"/>
    <w:uiPriority w:val="99"/>
    <w:rsid w:val="00C72FE7"/>
  </w:style>
  <w:style w:type="paragraph" w:styleId="HTML">
    <w:name w:val="HTML Preformatted"/>
    <w:basedOn w:val="a"/>
    <w:link w:val="HTML0"/>
    <w:uiPriority w:val="99"/>
    <w:rsid w:val="00C7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C72FE7"/>
    <w:rPr>
      <w:rFonts w:ascii="Courier New" w:eastAsia="Calibri" w:hAnsi="Courier New" w:cs="Courier New"/>
      <w:sz w:val="20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C72FE7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d">
    <w:name w:val="No Spacing"/>
    <w:link w:val="ae"/>
    <w:uiPriority w:val="99"/>
    <w:qFormat/>
    <w:rsid w:val="00C72FE7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character" w:customStyle="1" w:styleId="ae">
    <w:name w:val="Без интервала Знак"/>
    <w:link w:val="ad"/>
    <w:uiPriority w:val="99"/>
    <w:locked/>
    <w:rsid w:val="00C72FE7"/>
    <w:rPr>
      <w:rFonts w:ascii="Calibri" w:eastAsia="Calibri" w:hAnsi="Calibri" w:cs="Calibri"/>
      <w:lang w:val="en-US" w:eastAsia="ru-RU"/>
    </w:rPr>
  </w:style>
  <w:style w:type="paragraph" w:customStyle="1" w:styleId="af">
    <w:name w:val="Знак Знак Знак Знак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f0">
    <w:name w:val="Подпись к таблице_"/>
    <w:link w:val="af1"/>
    <w:uiPriority w:val="99"/>
    <w:locked/>
    <w:rsid w:val="00C72FE7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C72FE7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C72FE7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4">
    <w:name w:val="caption"/>
    <w:basedOn w:val="a"/>
    <w:next w:val="a"/>
    <w:uiPriority w:val="99"/>
    <w:qFormat/>
    <w:rsid w:val="00C72FE7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f5">
    <w:name w:val="Body Text Indent"/>
    <w:basedOn w:val="a"/>
    <w:link w:val="af6"/>
    <w:uiPriority w:val="99"/>
    <w:rsid w:val="00C72FE7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7">
    <w:name w:val="Block Text"/>
    <w:basedOn w:val="a"/>
    <w:uiPriority w:val="99"/>
    <w:rsid w:val="00C72FE7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f8">
    <w:name w:val="header"/>
    <w:basedOn w:val="a"/>
    <w:link w:val="af9"/>
    <w:uiPriority w:val="99"/>
    <w:rsid w:val="00C72FE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9">
    <w:name w:val="Верхний колонтитул Знак"/>
    <w:basedOn w:val="a0"/>
    <w:link w:val="af8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a">
    <w:name w:val="page number"/>
    <w:basedOn w:val="a0"/>
    <w:uiPriority w:val="99"/>
    <w:rsid w:val="00C72FE7"/>
  </w:style>
  <w:style w:type="paragraph" w:styleId="21">
    <w:name w:val="Body Text Indent 2"/>
    <w:basedOn w:val="a"/>
    <w:link w:val="22"/>
    <w:uiPriority w:val="99"/>
    <w:rsid w:val="00C72FE7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b">
    <w:name w:val="footer"/>
    <w:basedOn w:val="a"/>
    <w:link w:val="afc"/>
    <w:uiPriority w:val="99"/>
    <w:rsid w:val="00C72FE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c">
    <w:name w:val="Нижний колонтитул Знак"/>
    <w:basedOn w:val="a0"/>
    <w:link w:val="afb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C72FE7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C72F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3">
    <w:name w:val="Body Text 3"/>
    <w:basedOn w:val="a"/>
    <w:link w:val="34"/>
    <w:uiPriority w:val="99"/>
    <w:rsid w:val="00C72FE7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C72FE7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fd">
    <w:name w:val="Title"/>
    <w:basedOn w:val="a"/>
    <w:link w:val="afe"/>
    <w:uiPriority w:val="99"/>
    <w:qFormat/>
    <w:rsid w:val="00C72FE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e">
    <w:name w:val="Название Знак"/>
    <w:basedOn w:val="a0"/>
    <w:link w:val="afd"/>
    <w:uiPriority w:val="99"/>
    <w:rsid w:val="00C72F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5">
    <w:name w:val="Body Text Indent 3"/>
    <w:basedOn w:val="a"/>
    <w:link w:val="36"/>
    <w:uiPriority w:val="99"/>
    <w:rsid w:val="00C72FE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72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C72FE7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C72F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C72FE7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f0">
    <w:name w:val="Шапка документу"/>
    <w:basedOn w:val="a"/>
    <w:uiPriority w:val="99"/>
    <w:rsid w:val="00C72FE7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character" w:customStyle="1" w:styleId="FontStyle14">
    <w:name w:val="Font Style14"/>
    <w:uiPriority w:val="99"/>
    <w:rsid w:val="00C72FE7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uiPriority w:val="99"/>
    <w:rsid w:val="00C72FE7"/>
  </w:style>
  <w:style w:type="character" w:customStyle="1" w:styleId="rvts23">
    <w:name w:val="rvts23"/>
    <w:uiPriority w:val="99"/>
    <w:rsid w:val="00C72FE7"/>
  </w:style>
  <w:style w:type="character" w:customStyle="1" w:styleId="25">
    <w:name w:val="Основной текст (2) + Не полужирный"/>
    <w:uiPriority w:val="99"/>
    <w:rsid w:val="00C72FE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Основной текст Знак1"/>
    <w:uiPriority w:val="99"/>
    <w:locked/>
    <w:rsid w:val="00C72FE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C72FE7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C72FE7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6">
    <w:name w:val="Стиль2"/>
    <w:uiPriority w:val="99"/>
    <w:rsid w:val="00C72FE7"/>
  </w:style>
  <w:style w:type="paragraph" w:customStyle="1" w:styleId="tc">
    <w:name w:val="tc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C72FE7"/>
  </w:style>
  <w:style w:type="character" w:customStyle="1" w:styleId="rvts0">
    <w:name w:val="rvts0"/>
    <w:uiPriority w:val="99"/>
    <w:rsid w:val="00C72FE7"/>
  </w:style>
  <w:style w:type="character" w:styleId="aff1">
    <w:name w:val="Emphasis"/>
    <w:basedOn w:val="a0"/>
    <w:uiPriority w:val="99"/>
    <w:qFormat/>
    <w:rsid w:val="00C72FE7"/>
    <w:rPr>
      <w:i/>
      <w:iCs/>
    </w:rPr>
  </w:style>
  <w:style w:type="paragraph" w:customStyle="1" w:styleId="rvps12">
    <w:name w:val="rvps12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C72FE7"/>
  </w:style>
  <w:style w:type="paragraph" w:customStyle="1" w:styleId="aff2">
    <w:name w:val="_ДЛЯ ШАПКИ ТАБЛИЦЫ"/>
    <w:basedOn w:val="afd"/>
    <w:uiPriority w:val="99"/>
    <w:rsid w:val="00C72FE7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character" w:customStyle="1" w:styleId="mn">
    <w:name w:val="mn"/>
    <w:basedOn w:val="a0"/>
    <w:uiPriority w:val="99"/>
    <w:rsid w:val="00C72FE7"/>
  </w:style>
  <w:style w:type="paragraph" w:customStyle="1" w:styleId="120">
    <w:name w:val="Обычный +12 пт"/>
    <w:aliases w:val="Черный"/>
    <w:basedOn w:val="a"/>
    <w:rsid w:val="00C72FE7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E492-01BE-43C0-8AE6-EA0CB525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2020-04-10T11:23:00Z</cp:lastPrinted>
  <dcterms:created xsi:type="dcterms:W3CDTF">2021-03-23T07:11:00Z</dcterms:created>
  <dcterms:modified xsi:type="dcterms:W3CDTF">2021-03-26T07:56:00Z</dcterms:modified>
</cp:coreProperties>
</file>